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CE252A" w:rsidRPr="00A2610D" w:rsidRDefault="00CE252A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D7DF1" w:rsidRDefault="009D7DF1" w:rsidP="00A346E5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Position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of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the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Czech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gas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association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on draft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document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prepared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by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the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MARCOGAZ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Secretariat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,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answering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the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questions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raised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by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the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EU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Commission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in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the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Green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Paper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2030 on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climate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and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energy</w:t>
      </w:r>
      <w:proofErr w:type="spellEnd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9D7DF1">
        <w:rPr>
          <w:rFonts w:ascii="Arial" w:eastAsiaTheme="minorHAnsi" w:hAnsi="Arial" w:cs="Arial"/>
          <w:b/>
          <w:sz w:val="28"/>
          <w:szCs w:val="28"/>
          <w:lang w:eastAsia="en-US"/>
        </w:rPr>
        <w:t>policy</w:t>
      </w:r>
      <w:proofErr w:type="spellEnd"/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9164C8" w:rsidRPr="00A2610D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9D7DF1" w:rsidRPr="009D7DF1" w:rsidRDefault="009D7DF1" w:rsidP="009D7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9D7DF1">
        <w:rPr>
          <w:rFonts w:ascii="Arial" w:hAnsi="Arial" w:cs="Arial"/>
        </w:rPr>
        <w:t xml:space="preserve">PS </w:t>
      </w:r>
      <w:proofErr w:type="spellStart"/>
      <w:r w:rsidRPr="009D7DF1">
        <w:rPr>
          <w:rFonts w:ascii="Arial" w:hAnsi="Arial" w:cs="Arial"/>
        </w:rPr>
        <w:t>agrees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with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MARCOGAZ</w:t>
      </w:r>
      <w:proofErr w:type="spellEnd"/>
      <w:r w:rsidRPr="009D7DF1">
        <w:rPr>
          <w:rFonts w:ascii="Arial" w:hAnsi="Arial" w:cs="Arial"/>
        </w:rPr>
        <w:t xml:space="preserve"> draft </w:t>
      </w:r>
      <w:proofErr w:type="spellStart"/>
      <w:r w:rsidRPr="009D7DF1">
        <w:rPr>
          <w:rFonts w:ascii="Arial" w:hAnsi="Arial" w:cs="Arial"/>
        </w:rPr>
        <w:t>conceived</w:t>
      </w:r>
      <w:proofErr w:type="spellEnd"/>
      <w:r w:rsidRPr="009D7DF1">
        <w:rPr>
          <w:rFonts w:ascii="Arial" w:hAnsi="Arial" w:cs="Arial"/>
        </w:rPr>
        <w:t xml:space="preserve"> as </w:t>
      </w:r>
      <w:proofErr w:type="spellStart"/>
      <w:r w:rsidRPr="009D7DF1">
        <w:rPr>
          <w:rFonts w:ascii="Arial" w:hAnsi="Arial" w:cs="Arial"/>
        </w:rPr>
        <w:t>answers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questions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resulted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from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material</w:t>
      </w:r>
      <w:proofErr w:type="spellEnd"/>
      <w:r w:rsidRPr="009D7DF1">
        <w:rPr>
          <w:rFonts w:ascii="Arial" w:hAnsi="Arial" w:cs="Arial"/>
        </w:rPr>
        <w:t xml:space="preserve"> “A 2030 </w:t>
      </w:r>
      <w:proofErr w:type="spellStart"/>
      <w:r w:rsidRPr="009D7DF1">
        <w:rPr>
          <w:rFonts w:ascii="Arial" w:hAnsi="Arial" w:cs="Arial"/>
        </w:rPr>
        <w:t>framework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for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climate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energy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policies</w:t>
      </w:r>
      <w:proofErr w:type="spellEnd"/>
      <w:r w:rsidRPr="009D7DF1">
        <w:rPr>
          <w:rFonts w:ascii="Arial" w:hAnsi="Arial" w:cs="Arial"/>
        </w:rPr>
        <w:t>” (</w:t>
      </w:r>
      <w:proofErr w:type="spellStart"/>
      <w:r w:rsidRPr="009D7DF1">
        <w:rPr>
          <w:rFonts w:ascii="Arial" w:hAnsi="Arial" w:cs="Arial"/>
        </w:rPr>
        <w:t>COM</w:t>
      </w:r>
      <w:proofErr w:type="spellEnd"/>
      <w:r w:rsidRPr="009D7DF1">
        <w:rPr>
          <w:rFonts w:ascii="Arial" w:hAnsi="Arial" w:cs="Arial"/>
        </w:rPr>
        <w:t xml:space="preserve"> (2013) 169 </w:t>
      </w:r>
      <w:proofErr w:type="spellStart"/>
      <w:r w:rsidRPr="009D7DF1">
        <w:rPr>
          <w:rFonts w:ascii="Arial" w:hAnsi="Arial" w:cs="Arial"/>
        </w:rPr>
        <w:t>final</w:t>
      </w:r>
      <w:proofErr w:type="spellEnd"/>
      <w:r w:rsidRPr="009D7DF1">
        <w:rPr>
          <w:rFonts w:ascii="Arial" w:hAnsi="Arial" w:cs="Arial"/>
        </w:rPr>
        <w:t xml:space="preserve">) </w:t>
      </w:r>
      <w:proofErr w:type="spellStart"/>
      <w:r w:rsidRPr="009D7DF1">
        <w:rPr>
          <w:rFonts w:ascii="Arial" w:hAnsi="Arial" w:cs="Arial"/>
        </w:rPr>
        <w:t>issued</w:t>
      </w:r>
      <w:proofErr w:type="spellEnd"/>
      <w:r w:rsidRPr="009D7DF1">
        <w:rPr>
          <w:rFonts w:ascii="Arial" w:hAnsi="Arial" w:cs="Arial"/>
        </w:rPr>
        <w:t xml:space="preserve"> by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European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Commission</w:t>
      </w:r>
      <w:proofErr w:type="spellEnd"/>
      <w:r w:rsidRPr="009D7DF1">
        <w:rPr>
          <w:rFonts w:ascii="Arial" w:hAnsi="Arial" w:cs="Arial"/>
        </w:rPr>
        <w:t xml:space="preserve">. </w:t>
      </w:r>
      <w:proofErr w:type="spellStart"/>
      <w:r w:rsidRPr="009D7DF1">
        <w:rPr>
          <w:rFonts w:ascii="Arial" w:hAnsi="Arial" w:cs="Arial"/>
        </w:rPr>
        <w:t>We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especially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welcome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support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bold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approach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key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issues</w:t>
      </w:r>
      <w:proofErr w:type="spellEnd"/>
      <w:r w:rsidRPr="009D7DF1">
        <w:rPr>
          <w:rFonts w:ascii="Arial" w:hAnsi="Arial" w:cs="Arial"/>
        </w:rPr>
        <w:t>.</w:t>
      </w:r>
    </w:p>
    <w:p w:rsidR="009D7DF1" w:rsidRPr="009D7DF1" w:rsidRDefault="009D7DF1" w:rsidP="009D7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binding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targets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at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EU </w:t>
      </w:r>
      <w:proofErr w:type="spellStart"/>
      <w:r w:rsidRPr="009D7DF1">
        <w:rPr>
          <w:rFonts w:ascii="Arial" w:hAnsi="Arial" w:cs="Arial"/>
        </w:rPr>
        <w:t>level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Member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States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level</w:t>
      </w:r>
      <w:proofErr w:type="spellEnd"/>
      <w:r w:rsidRPr="009D7DF1">
        <w:rPr>
          <w:rFonts w:ascii="Arial" w:hAnsi="Arial" w:cs="Arial"/>
        </w:rPr>
        <w:t xml:space="preserve"> (</w:t>
      </w:r>
      <w:proofErr w:type="spellStart"/>
      <w:r w:rsidRPr="009D7DF1">
        <w:rPr>
          <w:rFonts w:ascii="Arial" w:hAnsi="Arial" w:cs="Arial"/>
        </w:rPr>
        <w:t>lying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reducing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CO2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emissions</w:t>
      </w:r>
      <w:proofErr w:type="spellEnd"/>
      <w:r w:rsidRPr="009D7DF1">
        <w:rPr>
          <w:rFonts w:ascii="Arial" w:hAnsi="Arial" w:cs="Arial"/>
        </w:rPr>
        <w:t xml:space="preserve">) </w:t>
      </w:r>
      <w:proofErr w:type="spellStart"/>
      <w:r w:rsidRPr="009D7DF1">
        <w:rPr>
          <w:rFonts w:ascii="Arial" w:hAnsi="Arial" w:cs="Arial"/>
        </w:rPr>
        <w:t>shall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be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determined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coordination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with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other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states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outside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Europe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avoid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lowering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competitiveness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European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industry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services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provided</w:t>
      </w:r>
      <w:proofErr w:type="spellEnd"/>
      <w:r w:rsidRPr="009D7DF1">
        <w:rPr>
          <w:rFonts w:ascii="Arial" w:hAnsi="Arial" w:cs="Arial"/>
        </w:rPr>
        <w:t>.</w:t>
      </w:r>
    </w:p>
    <w:p w:rsidR="009D7DF1" w:rsidRPr="009D7DF1" w:rsidRDefault="009D7DF1" w:rsidP="009D7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9D7DF1">
        <w:rPr>
          <w:rFonts w:ascii="Arial" w:hAnsi="Arial" w:cs="Arial"/>
        </w:rPr>
        <w:t>Another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essential</w:t>
      </w:r>
      <w:proofErr w:type="spellEnd"/>
      <w:r w:rsidRPr="009D7DF1">
        <w:rPr>
          <w:rFonts w:ascii="Arial" w:hAnsi="Arial" w:cs="Arial"/>
        </w:rPr>
        <w:t xml:space="preserve"> point </w:t>
      </w:r>
      <w:proofErr w:type="spellStart"/>
      <w:r w:rsidRPr="009D7DF1">
        <w:rPr>
          <w:rFonts w:ascii="Arial" w:hAnsi="Arial" w:cs="Arial"/>
        </w:rPr>
        <w:t>is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gradual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transition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European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energy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low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emission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energy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sources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developing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utilization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renewable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resources</w:t>
      </w:r>
      <w:proofErr w:type="spellEnd"/>
      <w:r w:rsidRPr="009D7DF1">
        <w:rPr>
          <w:rFonts w:ascii="Arial" w:hAnsi="Arial" w:cs="Arial"/>
        </w:rPr>
        <w:t xml:space="preserve">. </w:t>
      </w:r>
      <w:proofErr w:type="spellStart"/>
      <w:r w:rsidRPr="009D7DF1">
        <w:rPr>
          <w:rFonts w:ascii="Arial" w:hAnsi="Arial" w:cs="Arial"/>
        </w:rPr>
        <w:t>Using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existing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newly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developed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gas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infrastructure</w:t>
      </w:r>
      <w:proofErr w:type="spellEnd"/>
      <w:r w:rsidRPr="009D7DF1">
        <w:rPr>
          <w:rFonts w:ascii="Arial" w:hAnsi="Arial" w:cs="Arial"/>
        </w:rPr>
        <w:t xml:space="preserve"> (</w:t>
      </w:r>
      <w:proofErr w:type="spellStart"/>
      <w:r w:rsidRPr="009D7DF1">
        <w:rPr>
          <w:rFonts w:ascii="Arial" w:hAnsi="Arial" w:cs="Arial"/>
        </w:rPr>
        <w:t>including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use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natural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gas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transportation</w:t>
      </w:r>
      <w:proofErr w:type="spellEnd"/>
      <w:r w:rsidRPr="009D7DF1">
        <w:rPr>
          <w:rFonts w:ascii="Arial" w:hAnsi="Arial" w:cs="Arial"/>
        </w:rPr>
        <w:t xml:space="preserve">) </w:t>
      </w:r>
      <w:proofErr w:type="spellStart"/>
      <w:r w:rsidRPr="009D7DF1">
        <w:rPr>
          <w:rFonts w:ascii="Arial" w:hAnsi="Arial" w:cs="Arial"/>
        </w:rPr>
        <w:t>shall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markedly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contribute</w:t>
      </w:r>
      <w:proofErr w:type="spellEnd"/>
      <w:r w:rsidRPr="009D7DF1">
        <w:rPr>
          <w:rFonts w:ascii="Arial" w:hAnsi="Arial" w:cs="Arial"/>
        </w:rPr>
        <w:t xml:space="preserve"> to meeting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targets</w:t>
      </w:r>
      <w:proofErr w:type="spellEnd"/>
      <w:r w:rsidRPr="009D7DF1">
        <w:rPr>
          <w:rFonts w:ascii="Arial" w:hAnsi="Arial" w:cs="Arial"/>
        </w:rPr>
        <w:t xml:space="preserve"> as set in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environment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policy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up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until</w:t>
      </w:r>
      <w:proofErr w:type="spellEnd"/>
      <w:r w:rsidRPr="009D7DF1">
        <w:rPr>
          <w:rFonts w:ascii="Arial" w:hAnsi="Arial" w:cs="Arial"/>
        </w:rPr>
        <w:t xml:space="preserve"> 2030 (</w:t>
      </w:r>
      <w:proofErr w:type="spellStart"/>
      <w:r w:rsidRPr="009D7DF1">
        <w:rPr>
          <w:rFonts w:ascii="Arial" w:hAnsi="Arial" w:cs="Arial"/>
        </w:rPr>
        <w:t>target</w:t>
      </w:r>
      <w:proofErr w:type="spellEnd"/>
      <w:r w:rsidRPr="009D7DF1">
        <w:rPr>
          <w:rFonts w:ascii="Arial" w:hAnsi="Arial" w:cs="Arial"/>
        </w:rPr>
        <w:t>-</w:t>
      </w:r>
      <w:proofErr w:type="spellStart"/>
      <w:r w:rsidRPr="009D7DF1">
        <w:rPr>
          <w:rFonts w:ascii="Arial" w:hAnsi="Arial" w:cs="Arial"/>
        </w:rPr>
        <w:t>year</w:t>
      </w:r>
      <w:proofErr w:type="spellEnd"/>
      <w:r w:rsidRPr="009D7DF1">
        <w:rPr>
          <w:rFonts w:ascii="Arial" w:hAnsi="Arial" w:cs="Arial"/>
        </w:rPr>
        <w:t xml:space="preserve">). </w:t>
      </w:r>
      <w:proofErr w:type="spellStart"/>
      <w:r w:rsidRPr="009D7DF1">
        <w:rPr>
          <w:rFonts w:ascii="Arial" w:hAnsi="Arial" w:cs="Arial"/>
        </w:rPr>
        <w:t>This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policy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can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contribute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reducing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pressure</w:t>
      </w:r>
      <w:proofErr w:type="spellEnd"/>
      <w:r w:rsidRPr="009D7DF1">
        <w:rPr>
          <w:rFonts w:ascii="Arial" w:hAnsi="Arial" w:cs="Arial"/>
        </w:rPr>
        <w:t xml:space="preserve"> on meeting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objectives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declared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for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increase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energy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efficiency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which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may</w:t>
      </w:r>
      <w:proofErr w:type="spellEnd"/>
      <w:r w:rsidRPr="009D7DF1">
        <w:rPr>
          <w:rFonts w:ascii="Arial" w:hAnsi="Arial" w:cs="Arial"/>
        </w:rPr>
        <w:t xml:space="preserve"> not </w:t>
      </w:r>
      <w:proofErr w:type="spellStart"/>
      <w:r w:rsidRPr="009D7DF1">
        <w:rPr>
          <w:rFonts w:ascii="Arial" w:hAnsi="Arial" w:cs="Arial"/>
        </w:rPr>
        <w:t>be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achieved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expected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time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horizon</w:t>
      </w:r>
      <w:proofErr w:type="spellEnd"/>
      <w:r w:rsidRPr="009D7DF1">
        <w:rPr>
          <w:rFonts w:ascii="Arial" w:hAnsi="Arial" w:cs="Arial"/>
        </w:rPr>
        <w:t>.</w:t>
      </w:r>
    </w:p>
    <w:p w:rsidR="009D7DF1" w:rsidRPr="009D7DF1" w:rsidRDefault="009D7DF1" w:rsidP="009D7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9D7DF1">
        <w:rPr>
          <w:rFonts w:ascii="Arial" w:hAnsi="Arial" w:cs="Arial"/>
        </w:rPr>
        <w:t>When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promoting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climate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energy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targets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for</w:t>
      </w:r>
      <w:proofErr w:type="spellEnd"/>
      <w:r w:rsidRPr="009D7DF1">
        <w:rPr>
          <w:rFonts w:ascii="Arial" w:hAnsi="Arial" w:cs="Arial"/>
        </w:rPr>
        <w:t xml:space="preserve"> 2020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2030,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European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Commission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can</w:t>
      </w:r>
      <w:proofErr w:type="spellEnd"/>
      <w:r w:rsidRPr="009D7DF1">
        <w:rPr>
          <w:rFonts w:ascii="Arial" w:hAnsi="Arial" w:cs="Arial"/>
        </w:rPr>
        <w:t xml:space="preserve"> not </w:t>
      </w:r>
      <w:proofErr w:type="spellStart"/>
      <w:r w:rsidRPr="009D7DF1">
        <w:rPr>
          <w:rFonts w:ascii="Arial" w:hAnsi="Arial" w:cs="Arial"/>
        </w:rPr>
        <w:t>proceed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it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way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further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deepen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current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economic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crisis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Europe</w:t>
      </w:r>
      <w:proofErr w:type="spellEnd"/>
      <w:r w:rsidRPr="009D7DF1">
        <w:rPr>
          <w:rFonts w:ascii="Arial" w:hAnsi="Arial" w:cs="Arial"/>
        </w:rPr>
        <w:t xml:space="preserve">, not </w:t>
      </w:r>
      <w:proofErr w:type="spellStart"/>
      <w:r w:rsidRPr="009D7DF1">
        <w:rPr>
          <w:rFonts w:ascii="Arial" w:hAnsi="Arial" w:cs="Arial"/>
        </w:rPr>
        <w:t>even</w:t>
      </w:r>
      <w:proofErr w:type="spellEnd"/>
      <w:r w:rsidRPr="009D7DF1">
        <w:rPr>
          <w:rFonts w:ascii="Arial" w:hAnsi="Arial" w:cs="Arial"/>
        </w:rPr>
        <w:t xml:space="preserve"> in </w:t>
      </w:r>
      <w:proofErr w:type="gramStart"/>
      <w:r w:rsidRPr="009D7DF1">
        <w:rPr>
          <w:rFonts w:ascii="Arial" w:hAnsi="Arial" w:cs="Arial"/>
        </w:rPr>
        <w:t>case</w:t>
      </w:r>
      <w:proofErr w:type="gram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well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defined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objectives</w:t>
      </w:r>
      <w:proofErr w:type="spellEnd"/>
      <w:r w:rsidRPr="009D7DF1">
        <w:rPr>
          <w:rFonts w:ascii="Arial" w:hAnsi="Arial" w:cs="Arial"/>
        </w:rPr>
        <w:t xml:space="preserve"> in these </w:t>
      </w:r>
      <w:proofErr w:type="spellStart"/>
      <w:r w:rsidRPr="009D7DF1">
        <w:rPr>
          <w:rFonts w:ascii="Arial" w:hAnsi="Arial" w:cs="Arial"/>
        </w:rPr>
        <w:t>areas</w:t>
      </w:r>
      <w:proofErr w:type="spellEnd"/>
      <w:r w:rsidRPr="009D7DF1">
        <w:rPr>
          <w:rFonts w:ascii="Arial" w:hAnsi="Arial" w:cs="Arial"/>
        </w:rPr>
        <w:t xml:space="preserve">.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gradual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transition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use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low</w:t>
      </w:r>
      <w:proofErr w:type="spellEnd"/>
      <w:r w:rsidRPr="009D7DF1">
        <w:rPr>
          <w:rFonts w:ascii="Arial" w:hAnsi="Arial" w:cs="Arial"/>
        </w:rPr>
        <w:t>-</w:t>
      </w:r>
      <w:proofErr w:type="spellStart"/>
      <w:r w:rsidRPr="009D7DF1">
        <w:rPr>
          <w:rFonts w:ascii="Arial" w:hAnsi="Arial" w:cs="Arial"/>
        </w:rPr>
        <w:t>carbon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renewable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sources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would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increase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efficiency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investment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also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allow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essential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exploration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unconventional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resources</w:t>
      </w:r>
      <w:proofErr w:type="spellEnd"/>
      <w:r w:rsidRPr="009D7DF1">
        <w:rPr>
          <w:rFonts w:ascii="Arial" w:hAnsi="Arial" w:cs="Arial"/>
        </w:rPr>
        <w:t xml:space="preserve"> in </w:t>
      </w:r>
      <w:proofErr w:type="spellStart"/>
      <w:r w:rsidRPr="009D7DF1">
        <w:rPr>
          <w:rFonts w:ascii="Arial" w:hAnsi="Arial" w:cs="Arial"/>
        </w:rPr>
        <w:t>Europe</w:t>
      </w:r>
      <w:proofErr w:type="spellEnd"/>
      <w:r w:rsidRPr="009D7DF1">
        <w:rPr>
          <w:rFonts w:ascii="Arial" w:hAnsi="Arial" w:cs="Arial"/>
        </w:rPr>
        <w:t>.</w:t>
      </w:r>
    </w:p>
    <w:p w:rsidR="009D7DF1" w:rsidRPr="009D7DF1" w:rsidRDefault="009D7DF1" w:rsidP="009D7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9D7DF1">
        <w:rPr>
          <w:rFonts w:ascii="Arial" w:hAnsi="Arial" w:cs="Arial"/>
        </w:rPr>
        <w:t>Concerning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public </w:t>
      </w:r>
      <w:proofErr w:type="spellStart"/>
      <w:r w:rsidRPr="009D7DF1">
        <w:rPr>
          <w:rFonts w:ascii="Arial" w:hAnsi="Arial" w:cs="Arial"/>
        </w:rPr>
        <w:t>incentives</w:t>
      </w:r>
      <w:proofErr w:type="spellEnd"/>
      <w:r w:rsidRPr="009D7DF1">
        <w:rPr>
          <w:rFonts w:ascii="Arial" w:hAnsi="Arial" w:cs="Arial"/>
        </w:rPr>
        <w:t xml:space="preserve">,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main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accent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shall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be</w:t>
      </w:r>
      <w:proofErr w:type="spellEnd"/>
      <w:r w:rsidRPr="009D7DF1">
        <w:rPr>
          <w:rFonts w:ascii="Arial" w:hAnsi="Arial" w:cs="Arial"/>
        </w:rPr>
        <w:t xml:space="preserve"> put on </w:t>
      </w:r>
      <w:proofErr w:type="spellStart"/>
      <w:r w:rsidRPr="009D7DF1">
        <w:rPr>
          <w:rFonts w:ascii="Arial" w:hAnsi="Arial" w:cs="Arial"/>
        </w:rPr>
        <w:t>eventual</w:t>
      </w:r>
      <w:proofErr w:type="spellEnd"/>
      <w:r w:rsidRPr="009D7DF1">
        <w:rPr>
          <w:rFonts w:ascii="Arial" w:hAnsi="Arial" w:cs="Arial"/>
        </w:rPr>
        <w:t xml:space="preserve">  </w:t>
      </w:r>
      <w:proofErr w:type="spellStart"/>
      <w:r w:rsidRPr="009D7DF1">
        <w:rPr>
          <w:rFonts w:ascii="Arial" w:hAnsi="Arial" w:cs="Arial"/>
        </w:rPr>
        <w:t>energy</w:t>
      </w:r>
      <w:proofErr w:type="spellEnd"/>
      <w:r w:rsidRPr="009D7DF1">
        <w:rPr>
          <w:rFonts w:ascii="Arial" w:hAnsi="Arial" w:cs="Arial"/>
        </w:rPr>
        <w:t xml:space="preserve"> market </w:t>
      </w:r>
      <w:proofErr w:type="spellStart"/>
      <w:r w:rsidRPr="009D7DF1">
        <w:rPr>
          <w:rFonts w:ascii="Arial" w:hAnsi="Arial" w:cs="Arial"/>
        </w:rPr>
        <w:t>distortion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mechanism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how</w:t>
      </w:r>
      <w:proofErr w:type="spellEnd"/>
      <w:r w:rsidRPr="009D7DF1">
        <w:rPr>
          <w:rFonts w:ascii="Arial" w:hAnsi="Arial" w:cs="Arial"/>
        </w:rPr>
        <w:t xml:space="preserve"> to response </w:t>
      </w:r>
      <w:proofErr w:type="spellStart"/>
      <w:r w:rsidRPr="009D7DF1">
        <w:rPr>
          <w:rFonts w:ascii="Arial" w:hAnsi="Arial" w:cs="Arial"/>
        </w:rPr>
        <w:t>quickly</w:t>
      </w:r>
      <w:proofErr w:type="spellEnd"/>
      <w:r w:rsidRPr="009D7DF1">
        <w:rPr>
          <w:rFonts w:ascii="Arial" w:hAnsi="Arial" w:cs="Arial"/>
        </w:rPr>
        <w:t xml:space="preserve"> to </w:t>
      </w:r>
      <w:proofErr w:type="spellStart"/>
      <w:r w:rsidRPr="009D7DF1">
        <w:rPr>
          <w:rFonts w:ascii="Arial" w:hAnsi="Arial" w:cs="Arial"/>
        </w:rPr>
        <w:t>changes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of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economic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environment</w:t>
      </w:r>
      <w:proofErr w:type="spellEnd"/>
      <w:r w:rsidRPr="009D7DF1">
        <w:rPr>
          <w:rFonts w:ascii="Arial" w:hAnsi="Arial" w:cs="Arial"/>
        </w:rPr>
        <w:t>.</w:t>
      </w:r>
    </w:p>
    <w:p w:rsidR="009D7DF1" w:rsidRPr="009D7DF1" w:rsidRDefault="009D7DF1" w:rsidP="009D7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9D7DF1">
        <w:rPr>
          <w:rFonts w:ascii="Arial" w:hAnsi="Arial" w:cs="Arial"/>
        </w:rPr>
        <w:t>Finally</w:t>
      </w:r>
      <w:proofErr w:type="spellEnd"/>
      <w:r w:rsidRPr="009D7DF1">
        <w:rPr>
          <w:rFonts w:ascii="Arial" w:hAnsi="Arial" w:cs="Arial"/>
        </w:rPr>
        <w:t xml:space="preserve">, </w:t>
      </w:r>
      <w:proofErr w:type="spellStart"/>
      <w:r w:rsidRPr="009D7DF1">
        <w:rPr>
          <w:rFonts w:ascii="Arial" w:hAnsi="Arial" w:cs="Arial"/>
        </w:rPr>
        <w:t>all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measures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that</w:t>
      </w:r>
      <w:proofErr w:type="spellEnd"/>
      <w:r w:rsidRPr="009D7DF1">
        <w:rPr>
          <w:rFonts w:ascii="Arial" w:hAnsi="Arial" w:cs="Arial"/>
        </w:rPr>
        <w:t xml:space="preserve"> are </w:t>
      </w:r>
      <w:proofErr w:type="spellStart"/>
      <w:r w:rsidRPr="009D7DF1">
        <w:rPr>
          <w:rFonts w:ascii="Arial" w:hAnsi="Arial" w:cs="Arial"/>
        </w:rPr>
        <w:t>being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taken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should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find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acceptance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among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the</w:t>
      </w:r>
      <w:proofErr w:type="spellEnd"/>
      <w:r w:rsidRPr="009D7DF1">
        <w:rPr>
          <w:rFonts w:ascii="Arial" w:hAnsi="Arial" w:cs="Arial"/>
        </w:rPr>
        <w:t xml:space="preserve"> </w:t>
      </w:r>
      <w:proofErr w:type="spellStart"/>
      <w:r w:rsidRPr="009D7DF1">
        <w:rPr>
          <w:rFonts w:ascii="Arial" w:hAnsi="Arial" w:cs="Arial"/>
        </w:rPr>
        <w:t>wider</w:t>
      </w:r>
      <w:proofErr w:type="spellEnd"/>
      <w:r w:rsidRPr="009D7DF1">
        <w:rPr>
          <w:rFonts w:ascii="Arial" w:hAnsi="Arial" w:cs="Arial"/>
        </w:rPr>
        <w:t xml:space="preserve"> public.</w:t>
      </w:r>
    </w:p>
    <w:p w:rsidR="009D7DF1" w:rsidRPr="009D7DF1" w:rsidRDefault="009D7DF1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</w:p>
    <w:p w:rsidR="009D7DF1" w:rsidRPr="009D7DF1" w:rsidRDefault="009D7DF1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E74165" w:rsidRPr="00A2610D" w:rsidRDefault="00E74165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>Pra</w:t>
      </w:r>
      <w:r w:rsidR="009D7DF1">
        <w:rPr>
          <w:rFonts w:ascii="Arial" w:eastAsiaTheme="minorHAnsi" w:hAnsi="Arial" w:cs="Arial"/>
          <w:lang w:eastAsia="en-US"/>
        </w:rPr>
        <w:t>ha,</w:t>
      </w:r>
      <w:r w:rsidRPr="00A2610D">
        <w:rPr>
          <w:rFonts w:ascii="Arial" w:eastAsiaTheme="minorHAnsi" w:hAnsi="Arial" w:cs="Arial"/>
          <w:lang w:eastAsia="en-US"/>
        </w:rPr>
        <w:t xml:space="preserve"> </w:t>
      </w:r>
      <w:r w:rsidR="009D7DF1">
        <w:rPr>
          <w:rFonts w:ascii="Arial" w:eastAsiaTheme="minorHAnsi" w:hAnsi="Arial" w:cs="Arial"/>
          <w:lang w:eastAsia="en-US"/>
        </w:rPr>
        <w:t>2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="009D7DF1">
        <w:rPr>
          <w:rFonts w:ascii="Arial" w:eastAsiaTheme="minorHAnsi" w:hAnsi="Arial" w:cs="Arial"/>
          <w:lang w:eastAsia="en-US"/>
        </w:rPr>
        <w:t>7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Pr="00A2610D">
        <w:rPr>
          <w:rFonts w:ascii="Arial" w:eastAsiaTheme="minorHAnsi" w:hAnsi="Arial" w:cs="Arial"/>
          <w:lang w:eastAsia="en-US"/>
        </w:rPr>
        <w:t>2013</w:t>
      </w:r>
    </w:p>
    <w:p w:rsidR="00E74165" w:rsidRPr="00A2610D" w:rsidRDefault="00E74165" w:rsidP="00A346E5">
      <w:pPr>
        <w:spacing w:after="120" w:line="276" w:lineRule="auto"/>
        <w:rPr>
          <w:rFonts w:ascii="Arial" w:hAnsi="Arial" w:cs="Arial"/>
        </w:rPr>
      </w:pPr>
      <w:r w:rsidRPr="00A2610D">
        <w:rPr>
          <w:rFonts w:ascii="Arial" w:eastAsiaTheme="minorHAnsi" w:hAnsi="Arial" w:cs="Arial"/>
          <w:lang w:eastAsia="en-US"/>
        </w:rPr>
        <w:t xml:space="preserve">ČPS, </w:t>
      </w:r>
      <w:proofErr w:type="spellStart"/>
      <w:r w:rsidRPr="00A2610D">
        <w:rPr>
          <w:rFonts w:ascii="Arial" w:eastAsiaTheme="minorHAnsi" w:hAnsi="Arial" w:cs="Arial"/>
          <w:lang w:eastAsia="en-US"/>
        </w:rPr>
        <w:t>Legislativ</w:t>
      </w:r>
      <w:r w:rsidR="009D7DF1">
        <w:rPr>
          <w:rFonts w:ascii="Arial" w:eastAsiaTheme="minorHAnsi" w:hAnsi="Arial" w:cs="Arial"/>
          <w:lang w:eastAsia="en-US"/>
        </w:rPr>
        <w:t>e</w:t>
      </w:r>
      <w:proofErr w:type="spellEnd"/>
      <w:r w:rsidR="009D7DF1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9D7DF1">
        <w:rPr>
          <w:rFonts w:ascii="Arial" w:eastAsiaTheme="minorHAnsi" w:hAnsi="Arial" w:cs="Arial"/>
          <w:lang w:eastAsia="en-US"/>
        </w:rPr>
        <w:t>section</w:t>
      </w:r>
      <w:proofErr w:type="spellEnd"/>
    </w:p>
    <w:sectPr w:rsidR="00E74165" w:rsidRPr="00A2610D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86" w:rsidRDefault="00B94686">
      <w:r>
        <w:separator/>
      </w:r>
    </w:p>
  </w:endnote>
  <w:endnote w:type="continuationSeparator" w:id="0">
    <w:p w:rsidR="00B94686" w:rsidRDefault="00B9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86" w:rsidRDefault="00B94686">
      <w:r>
        <w:separator/>
      </w:r>
    </w:p>
  </w:footnote>
  <w:footnote w:type="continuationSeparator" w:id="0">
    <w:p w:rsidR="00B94686" w:rsidRDefault="00B94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D7DF1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4686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00C1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cp:lastPrinted>2013-08-12T08:36:00Z</cp:lastPrinted>
  <dcterms:created xsi:type="dcterms:W3CDTF">2013-08-23T10:21:00Z</dcterms:created>
  <dcterms:modified xsi:type="dcterms:W3CDTF">2013-08-23T10:21:00Z</dcterms:modified>
</cp:coreProperties>
</file>