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Pr="00A2610D" w:rsidRDefault="00927238" w:rsidP="0076039B">
      <w:pPr>
        <w:rPr>
          <w:rFonts w:ascii="Arial" w:hAnsi="Arial" w:cs="Arial"/>
        </w:rPr>
      </w:pPr>
    </w:p>
    <w:p w:rsidR="00E74165" w:rsidRPr="00A2610D" w:rsidRDefault="00E74165" w:rsidP="00A346E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B133AF" w:rsidRPr="00B133AF" w:rsidRDefault="00B133AF" w:rsidP="00B133AF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133AF">
        <w:rPr>
          <w:rFonts w:ascii="Arial" w:eastAsiaTheme="minorHAnsi" w:hAnsi="Arial" w:cs="Arial"/>
          <w:b/>
          <w:sz w:val="28"/>
          <w:szCs w:val="28"/>
          <w:lang w:eastAsia="en-US"/>
        </w:rPr>
        <w:t>Stanovisko Českého plynárenského svazu ke studii</w:t>
      </w:r>
    </w:p>
    <w:p w:rsidR="00B133AF" w:rsidRDefault="00B133AF" w:rsidP="00B133AF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133AF">
        <w:rPr>
          <w:rFonts w:ascii="Arial" w:eastAsiaTheme="minorHAnsi" w:hAnsi="Arial" w:cs="Arial"/>
          <w:b/>
          <w:sz w:val="28"/>
          <w:szCs w:val="28"/>
          <w:lang w:eastAsia="en-US"/>
        </w:rPr>
        <w:t>„Model trhu s plynem pro země vyšehradské čtyřky“</w:t>
      </w:r>
    </w:p>
    <w:p w:rsidR="00E74165" w:rsidRPr="00A2610D" w:rsidRDefault="00E74165" w:rsidP="00A346E5">
      <w:pPr>
        <w:jc w:val="center"/>
        <w:rPr>
          <w:rFonts w:ascii="Arial" w:eastAsiaTheme="minorHAnsi" w:hAnsi="Arial" w:cs="Arial"/>
          <w:lang w:eastAsia="en-US"/>
        </w:rPr>
      </w:pPr>
    </w:p>
    <w:p w:rsidR="00B133AF" w:rsidRPr="00B133AF" w:rsidRDefault="00B133AF" w:rsidP="00B133AF">
      <w:pPr>
        <w:jc w:val="both"/>
        <w:rPr>
          <w:rFonts w:ascii="Arial" w:hAnsi="Arial" w:cs="Arial"/>
        </w:rPr>
      </w:pPr>
      <w:bookmarkStart w:id="0" w:name="_GoBack"/>
      <w:bookmarkEnd w:id="0"/>
      <w:r w:rsidRPr="00B133AF">
        <w:rPr>
          <w:rFonts w:ascii="Arial" w:hAnsi="Arial" w:cs="Arial"/>
        </w:rPr>
        <w:tab/>
        <w:t>Předložená studie konsorcia zpracovatelů představuje zajímavý návrh na spolupráci České republiky, Maďarska, Polska a Slovenska při vytváření jednotného trhu s plynem. Takový záměr je i v souladu s cílem Evropské komise dosáhnout do roku 2014 jednotného trhu s elektřinou a zemním plynem.</w:t>
      </w:r>
    </w:p>
    <w:p w:rsidR="00B133AF" w:rsidRDefault="00B133AF" w:rsidP="00B133AF">
      <w:pPr>
        <w:jc w:val="both"/>
        <w:rPr>
          <w:rFonts w:ascii="Arial" w:hAnsi="Arial" w:cs="Arial"/>
        </w:rPr>
      </w:pPr>
      <w:r w:rsidRPr="00B133AF">
        <w:rPr>
          <w:rFonts w:ascii="Arial" w:hAnsi="Arial" w:cs="Arial"/>
        </w:rPr>
        <w:tab/>
        <w:t xml:space="preserve">Při hodnocení návrhu modelu trhu s plynem </w:t>
      </w:r>
      <w:proofErr w:type="spellStart"/>
      <w:r w:rsidRPr="00B133AF">
        <w:rPr>
          <w:rFonts w:ascii="Arial" w:hAnsi="Arial" w:cs="Arial"/>
        </w:rPr>
        <w:t>V4</w:t>
      </w:r>
      <w:proofErr w:type="spellEnd"/>
      <w:r w:rsidRPr="00B133AF">
        <w:rPr>
          <w:rFonts w:ascii="Arial" w:hAnsi="Arial" w:cs="Arial"/>
        </w:rPr>
        <w:t xml:space="preserve"> v předložené studii je však třeba podotknout:</w:t>
      </w:r>
    </w:p>
    <w:p w:rsidR="00B133AF" w:rsidRPr="00B133AF" w:rsidRDefault="00B133AF" w:rsidP="00B133AF">
      <w:pPr>
        <w:jc w:val="both"/>
        <w:rPr>
          <w:rFonts w:ascii="Arial" w:hAnsi="Arial" w:cs="Arial"/>
        </w:rPr>
      </w:pPr>
    </w:p>
    <w:p w:rsidR="00B133AF" w:rsidRPr="00B133AF" w:rsidRDefault="00B133AF" w:rsidP="00B133A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33AF">
        <w:rPr>
          <w:rFonts w:ascii="Arial" w:hAnsi="Arial" w:cs="Arial"/>
          <w:sz w:val="24"/>
          <w:szCs w:val="24"/>
        </w:rPr>
        <w:t>studie představuje pouze ideový návrh možné spolupráce a nikoliv technický nebo ekonomický model trhu s plynem v těchto zemích, i když uvedené základní zásady jsou jistě správné a respektují dnes používané modely trhu s plynem,</w:t>
      </w:r>
    </w:p>
    <w:p w:rsidR="00B133AF" w:rsidRPr="00B133AF" w:rsidRDefault="00B133AF" w:rsidP="00B133A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33AF">
        <w:rPr>
          <w:rFonts w:ascii="Arial" w:hAnsi="Arial" w:cs="Arial"/>
          <w:sz w:val="24"/>
          <w:szCs w:val="24"/>
        </w:rPr>
        <w:t>není dostatečně respektován zcela odlišný vývoj plynárenské infrastruktury v bývalém Československu (dnes Česká a Sl</w:t>
      </w:r>
      <w:r>
        <w:rPr>
          <w:rFonts w:ascii="Arial" w:hAnsi="Arial" w:cs="Arial"/>
          <w:sz w:val="24"/>
          <w:szCs w:val="24"/>
        </w:rPr>
        <w:t>ovenská republika) a v Polsku a </w:t>
      </w:r>
      <w:r w:rsidRPr="00B133AF">
        <w:rPr>
          <w:rFonts w:ascii="Arial" w:hAnsi="Arial" w:cs="Arial"/>
          <w:sz w:val="24"/>
          <w:szCs w:val="24"/>
        </w:rPr>
        <w:t>Maďarsku,</w:t>
      </w:r>
    </w:p>
    <w:p w:rsidR="00B133AF" w:rsidRPr="00B133AF" w:rsidRDefault="00B133AF" w:rsidP="00B133A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33AF">
        <w:rPr>
          <w:rFonts w:ascii="Arial" w:hAnsi="Arial" w:cs="Arial"/>
          <w:sz w:val="24"/>
          <w:szCs w:val="24"/>
        </w:rPr>
        <w:t xml:space="preserve">v rámci zemí </w:t>
      </w:r>
      <w:proofErr w:type="spellStart"/>
      <w:r w:rsidRPr="00B133AF">
        <w:rPr>
          <w:rFonts w:ascii="Arial" w:hAnsi="Arial" w:cs="Arial"/>
          <w:sz w:val="24"/>
          <w:szCs w:val="24"/>
        </w:rPr>
        <w:t>V4</w:t>
      </w:r>
      <w:proofErr w:type="spellEnd"/>
      <w:r w:rsidRPr="00B133AF">
        <w:rPr>
          <w:rFonts w:ascii="Arial" w:hAnsi="Arial" w:cs="Arial"/>
          <w:sz w:val="24"/>
          <w:szCs w:val="24"/>
        </w:rPr>
        <w:t xml:space="preserve"> existují již dnes i jiné projekty na propojení národních trhů s plynem a spolupráce při prodeji přepravní kapacity, a vzhledem k tomu, že jsou financovány soukromými subjekty, bude tento trend i nadále pokračovat,</w:t>
      </w:r>
    </w:p>
    <w:p w:rsidR="00B133AF" w:rsidRPr="00B133AF" w:rsidRDefault="00B133AF" w:rsidP="00B133A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33AF">
        <w:rPr>
          <w:rFonts w:ascii="Arial" w:hAnsi="Arial" w:cs="Arial"/>
          <w:sz w:val="24"/>
          <w:szCs w:val="24"/>
        </w:rPr>
        <w:t xml:space="preserve">současná situace zjevně zatím neumožňuje vytvoření jednotné obchodní zóny v zemích </w:t>
      </w:r>
      <w:proofErr w:type="spellStart"/>
      <w:r w:rsidRPr="00B133AF">
        <w:rPr>
          <w:rFonts w:ascii="Arial" w:hAnsi="Arial" w:cs="Arial"/>
          <w:sz w:val="24"/>
          <w:szCs w:val="24"/>
        </w:rPr>
        <w:t>V4</w:t>
      </w:r>
      <w:proofErr w:type="spellEnd"/>
      <w:r w:rsidRPr="00B133AF">
        <w:rPr>
          <w:rFonts w:ascii="Arial" w:hAnsi="Arial" w:cs="Arial"/>
          <w:sz w:val="24"/>
          <w:szCs w:val="24"/>
        </w:rPr>
        <w:t>, a to především vzhledem k </w:t>
      </w:r>
      <w:r>
        <w:rPr>
          <w:rFonts w:ascii="Arial" w:hAnsi="Arial" w:cs="Arial"/>
          <w:sz w:val="24"/>
          <w:szCs w:val="24"/>
        </w:rPr>
        <w:t>rozdílným regulačním, cenovým a </w:t>
      </w:r>
      <w:r w:rsidRPr="00B133AF">
        <w:rPr>
          <w:rFonts w:ascii="Arial" w:hAnsi="Arial" w:cs="Arial"/>
          <w:sz w:val="24"/>
          <w:szCs w:val="24"/>
        </w:rPr>
        <w:t>technickým pravidlům jednotlivých zemích (navíc některé údaje o spotřebě plynu za ČR nejsou asi správné),</w:t>
      </w:r>
    </w:p>
    <w:p w:rsidR="00B133AF" w:rsidRPr="00B133AF" w:rsidRDefault="00B133AF" w:rsidP="00B133A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133AF">
        <w:rPr>
          <w:rFonts w:ascii="Arial" w:hAnsi="Arial" w:cs="Arial"/>
          <w:sz w:val="24"/>
          <w:szCs w:val="24"/>
        </w:rPr>
        <w:t>přeshraniční</w:t>
      </w:r>
      <w:proofErr w:type="spellEnd"/>
      <w:r w:rsidRPr="00B133AF">
        <w:rPr>
          <w:rFonts w:ascii="Arial" w:hAnsi="Arial" w:cs="Arial"/>
          <w:sz w:val="24"/>
          <w:szCs w:val="24"/>
        </w:rPr>
        <w:t xml:space="preserve"> kapacity plynovodů až na výjimky nejsou dnes dostatečné pro vytvoření jednotného trhu </w:t>
      </w:r>
      <w:proofErr w:type="spellStart"/>
      <w:r w:rsidRPr="00B133AF">
        <w:rPr>
          <w:rFonts w:ascii="Arial" w:hAnsi="Arial" w:cs="Arial"/>
          <w:sz w:val="24"/>
          <w:szCs w:val="24"/>
        </w:rPr>
        <w:t>V4</w:t>
      </w:r>
      <w:proofErr w:type="spellEnd"/>
      <w:r w:rsidRPr="00B133AF">
        <w:rPr>
          <w:rFonts w:ascii="Arial" w:hAnsi="Arial" w:cs="Arial"/>
          <w:sz w:val="24"/>
          <w:szCs w:val="24"/>
        </w:rPr>
        <w:t xml:space="preserve"> a většina projektů na zvýšení této kapacity je zatím pouze ve stadiu projektů,</w:t>
      </w:r>
    </w:p>
    <w:p w:rsidR="00B133AF" w:rsidRPr="00B133AF" w:rsidRDefault="00B133AF" w:rsidP="00B133A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33AF">
        <w:rPr>
          <w:rFonts w:ascii="Arial" w:hAnsi="Arial" w:cs="Arial"/>
          <w:sz w:val="24"/>
          <w:szCs w:val="24"/>
        </w:rPr>
        <w:t>hledání potenciálních nových zdrojů zemního plynu (</w:t>
      </w:r>
      <w:proofErr w:type="spellStart"/>
      <w:r w:rsidRPr="00B133AF">
        <w:rPr>
          <w:rFonts w:ascii="Arial" w:hAnsi="Arial" w:cs="Arial"/>
          <w:sz w:val="24"/>
          <w:szCs w:val="24"/>
        </w:rPr>
        <w:t>LNG</w:t>
      </w:r>
      <w:proofErr w:type="spellEnd"/>
      <w:r w:rsidRPr="00B133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33AF">
        <w:rPr>
          <w:rFonts w:ascii="Arial" w:hAnsi="Arial" w:cs="Arial"/>
          <w:sz w:val="24"/>
          <w:szCs w:val="24"/>
        </w:rPr>
        <w:t>South</w:t>
      </w:r>
      <w:proofErr w:type="spellEnd"/>
      <w:r w:rsidRPr="00B13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3AF">
        <w:rPr>
          <w:rFonts w:ascii="Arial" w:hAnsi="Arial" w:cs="Arial"/>
          <w:sz w:val="24"/>
          <w:szCs w:val="24"/>
        </w:rPr>
        <w:t>Stream</w:t>
      </w:r>
      <w:proofErr w:type="spellEnd"/>
      <w:r w:rsidRPr="00B133AF">
        <w:rPr>
          <w:rFonts w:ascii="Arial" w:hAnsi="Arial" w:cs="Arial"/>
          <w:sz w:val="24"/>
          <w:szCs w:val="24"/>
        </w:rPr>
        <w:t xml:space="preserve">, Středozemní oblast, Severní Afrika) je dobrou, nikoliv však novou myšlenkou, ovšem především pro </w:t>
      </w:r>
      <w:proofErr w:type="spellStart"/>
      <w:r w:rsidRPr="00B133AF">
        <w:rPr>
          <w:rFonts w:ascii="Arial" w:hAnsi="Arial" w:cs="Arial"/>
          <w:sz w:val="24"/>
          <w:szCs w:val="24"/>
        </w:rPr>
        <w:t>V4</w:t>
      </w:r>
      <w:proofErr w:type="spellEnd"/>
      <w:r w:rsidRPr="00B133AF">
        <w:rPr>
          <w:rFonts w:ascii="Arial" w:hAnsi="Arial" w:cs="Arial"/>
          <w:sz w:val="24"/>
          <w:szCs w:val="24"/>
        </w:rPr>
        <w:t xml:space="preserve"> bude vždy determinující základní dodávka ruského plynu ve směru východ – západ a případné změny v objemu dodávek v tomto směru,</w:t>
      </w:r>
    </w:p>
    <w:p w:rsidR="00B133AF" w:rsidRPr="00B133AF" w:rsidRDefault="00B133AF" w:rsidP="00B133A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33AF">
        <w:rPr>
          <w:rFonts w:ascii="Arial" w:hAnsi="Arial" w:cs="Arial"/>
          <w:sz w:val="24"/>
          <w:szCs w:val="24"/>
        </w:rPr>
        <w:t>vytváření jednotného trhu s plynem v rámci EU bude dlouhodobý proces a přechod od národních trhů k mezistátním bude pouze postupný, zde dlouhodobě spatřujeme přetrvávající zásadní rozdíl proti trhu s elektřinou,</w:t>
      </w:r>
    </w:p>
    <w:p w:rsidR="00B133AF" w:rsidRPr="00B133AF" w:rsidRDefault="00B133AF" w:rsidP="00B133A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33AF">
        <w:rPr>
          <w:rFonts w:ascii="Arial" w:hAnsi="Arial" w:cs="Arial"/>
          <w:sz w:val="24"/>
          <w:szCs w:val="24"/>
        </w:rPr>
        <w:t>studie vůbec nezmiňují možnosti těžby břidli</w:t>
      </w:r>
      <w:r>
        <w:rPr>
          <w:rFonts w:ascii="Arial" w:hAnsi="Arial" w:cs="Arial"/>
          <w:sz w:val="24"/>
          <w:szCs w:val="24"/>
        </w:rPr>
        <w:t>cového plynu zejména v Polsku a </w:t>
      </w:r>
      <w:r w:rsidRPr="00B133AF">
        <w:rPr>
          <w:rFonts w:ascii="Arial" w:hAnsi="Arial" w:cs="Arial"/>
          <w:sz w:val="24"/>
          <w:szCs w:val="24"/>
        </w:rPr>
        <w:t>možný vliv tohoto zdroje na trh s plynem,</w:t>
      </w:r>
    </w:p>
    <w:p w:rsidR="00B133AF" w:rsidRPr="00B133AF" w:rsidRDefault="00B133AF" w:rsidP="00B133A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33AF">
        <w:rPr>
          <w:rFonts w:ascii="Arial" w:hAnsi="Arial" w:cs="Arial"/>
          <w:sz w:val="24"/>
          <w:szCs w:val="24"/>
        </w:rPr>
        <w:t>některé srovnávací ukazatele použité v tabulkách nejsou v textu dostatečně popsány a jejich srozumitelnost a vypovídací hodnota jsou tudíž nízké.</w:t>
      </w:r>
    </w:p>
    <w:p w:rsidR="00B133AF" w:rsidRPr="00B133AF" w:rsidRDefault="00B133AF" w:rsidP="00B133AF">
      <w:pPr>
        <w:ind w:firstLine="360"/>
        <w:jc w:val="both"/>
        <w:rPr>
          <w:rFonts w:ascii="Arial" w:hAnsi="Arial" w:cs="Arial"/>
        </w:rPr>
      </w:pPr>
      <w:r w:rsidRPr="00B133AF">
        <w:rPr>
          <w:rFonts w:ascii="Arial" w:hAnsi="Arial" w:cs="Arial"/>
        </w:rPr>
        <w:t>Studie tedy představuje jeden ze zajímavých podnětů pro další směrování trhu s plynem ve střední Evropě. Práce na tomto námětu by měly pokračovat širší diskuzí zainteresovaných stran, a to především z hlediska ekonomického posouzení existujících možností a technické proveditelnosti.</w:t>
      </w:r>
    </w:p>
    <w:p w:rsidR="00D703D6" w:rsidRPr="00B133AF" w:rsidRDefault="00D703D6" w:rsidP="00B133AF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</w:p>
    <w:p w:rsidR="00E74165" w:rsidRPr="00B133AF" w:rsidRDefault="00E74165" w:rsidP="00B133AF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B133AF">
        <w:rPr>
          <w:rFonts w:ascii="Arial" w:eastAsiaTheme="minorHAnsi" w:hAnsi="Arial" w:cs="Arial"/>
          <w:lang w:eastAsia="en-US"/>
        </w:rPr>
        <w:t xml:space="preserve">Praha, </w:t>
      </w:r>
      <w:r w:rsidR="00B133AF" w:rsidRPr="00B133AF">
        <w:rPr>
          <w:rFonts w:ascii="Arial" w:eastAsiaTheme="minorHAnsi" w:hAnsi="Arial" w:cs="Arial"/>
          <w:lang w:eastAsia="en-US"/>
        </w:rPr>
        <w:t>5</w:t>
      </w:r>
      <w:r w:rsidRPr="00B133AF">
        <w:rPr>
          <w:rFonts w:ascii="Arial" w:eastAsiaTheme="minorHAnsi" w:hAnsi="Arial" w:cs="Arial"/>
          <w:lang w:eastAsia="en-US"/>
        </w:rPr>
        <w:t>.</w:t>
      </w:r>
      <w:r w:rsidR="00A346E5" w:rsidRPr="00B133AF">
        <w:rPr>
          <w:rFonts w:ascii="Arial" w:eastAsiaTheme="minorHAnsi" w:hAnsi="Arial" w:cs="Arial"/>
          <w:lang w:eastAsia="en-US"/>
        </w:rPr>
        <w:t> </w:t>
      </w:r>
      <w:r w:rsidR="00B133AF" w:rsidRPr="00B133AF">
        <w:rPr>
          <w:rFonts w:ascii="Arial" w:eastAsiaTheme="minorHAnsi" w:hAnsi="Arial" w:cs="Arial"/>
          <w:lang w:eastAsia="en-US"/>
        </w:rPr>
        <w:t>4</w:t>
      </w:r>
      <w:r w:rsidRPr="00B133AF">
        <w:rPr>
          <w:rFonts w:ascii="Arial" w:eastAsiaTheme="minorHAnsi" w:hAnsi="Arial" w:cs="Arial"/>
          <w:lang w:eastAsia="en-US"/>
        </w:rPr>
        <w:t>.</w:t>
      </w:r>
      <w:r w:rsidR="00A346E5" w:rsidRPr="00B133AF">
        <w:rPr>
          <w:rFonts w:ascii="Arial" w:eastAsiaTheme="minorHAnsi" w:hAnsi="Arial" w:cs="Arial"/>
          <w:lang w:eastAsia="en-US"/>
        </w:rPr>
        <w:t> </w:t>
      </w:r>
      <w:r w:rsidRPr="00B133AF">
        <w:rPr>
          <w:rFonts w:ascii="Arial" w:eastAsiaTheme="minorHAnsi" w:hAnsi="Arial" w:cs="Arial"/>
          <w:lang w:eastAsia="en-US"/>
        </w:rPr>
        <w:t>2013</w:t>
      </w:r>
    </w:p>
    <w:p w:rsidR="00E74165" w:rsidRPr="00B133AF" w:rsidRDefault="00E74165" w:rsidP="00B133AF">
      <w:pPr>
        <w:spacing w:after="120" w:line="276" w:lineRule="auto"/>
        <w:jc w:val="both"/>
        <w:rPr>
          <w:rFonts w:ascii="Arial" w:hAnsi="Arial" w:cs="Arial"/>
        </w:rPr>
      </w:pPr>
      <w:r w:rsidRPr="00B133AF">
        <w:rPr>
          <w:rFonts w:ascii="Arial" w:eastAsiaTheme="minorHAnsi" w:hAnsi="Arial" w:cs="Arial"/>
          <w:lang w:eastAsia="en-US"/>
        </w:rPr>
        <w:t>ČPS, Legislativní sekce</w:t>
      </w:r>
    </w:p>
    <w:sectPr w:rsidR="00E74165" w:rsidRPr="00B133AF" w:rsidSect="00D703D6">
      <w:headerReference w:type="default" r:id="rId7"/>
      <w:headerReference w:type="first" r:id="rId8"/>
      <w:pgSz w:w="11906" w:h="16838" w:code="9"/>
      <w:pgMar w:top="851" w:right="1106" w:bottom="53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38" w:rsidRDefault="00ED3938">
      <w:r>
        <w:separator/>
      </w:r>
    </w:p>
  </w:endnote>
  <w:endnote w:type="continuationSeparator" w:id="0">
    <w:p w:rsidR="00ED3938" w:rsidRDefault="00ED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38" w:rsidRDefault="00ED3938">
      <w:r>
        <w:separator/>
      </w:r>
    </w:p>
  </w:footnote>
  <w:footnote w:type="continuationSeparator" w:id="0">
    <w:p w:rsidR="00ED3938" w:rsidRDefault="00ED3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D6" w:rsidRDefault="00D703D6" w:rsidP="00D703D6">
    <w:pPr>
      <w:pStyle w:val="Zhlav"/>
      <w:jc w:val="center"/>
    </w:pPr>
    <w:r w:rsidRPr="00D703D6">
      <w:rPr>
        <w:noProof/>
      </w:rPr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3023C"/>
    <w:multiLevelType w:val="hybridMultilevel"/>
    <w:tmpl w:val="C0E23EAC"/>
    <w:lvl w:ilvl="0" w:tplc="05B06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1335"/>
    <w:rsid w:val="000129FB"/>
    <w:rsid w:val="00016B29"/>
    <w:rsid w:val="00017AD5"/>
    <w:rsid w:val="000214EB"/>
    <w:rsid w:val="0002168D"/>
    <w:rsid w:val="00021B0D"/>
    <w:rsid w:val="00023CFC"/>
    <w:rsid w:val="000250B6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BFE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7F74"/>
    <w:rsid w:val="00090BFD"/>
    <w:rsid w:val="00091C20"/>
    <w:rsid w:val="00093EA5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3E72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1A29"/>
    <w:rsid w:val="001C22F0"/>
    <w:rsid w:val="001C4AF9"/>
    <w:rsid w:val="001C532D"/>
    <w:rsid w:val="001D09D5"/>
    <w:rsid w:val="001D481C"/>
    <w:rsid w:val="001D4E4F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2350"/>
    <w:rsid w:val="0021307B"/>
    <w:rsid w:val="00216516"/>
    <w:rsid w:val="002169BA"/>
    <w:rsid w:val="00223C7C"/>
    <w:rsid w:val="00225E0C"/>
    <w:rsid w:val="00231E8F"/>
    <w:rsid w:val="002337C5"/>
    <w:rsid w:val="0023417C"/>
    <w:rsid w:val="00235B0B"/>
    <w:rsid w:val="00235B26"/>
    <w:rsid w:val="00240A20"/>
    <w:rsid w:val="002424B8"/>
    <w:rsid w:val="00244E12"/>
    <w:rsid w:val="002465DB"/>
    <w:rsid w:val="00250F76"/>
    <w:rsid w:val="00251FEC"/>
    <w:rsid w:val="00253F83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4220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373C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6959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09B"/>
    <w:rsid w:val="003C072E"/>
    <w:rsid w:val="003C2EE5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05548"/>
    <w:rsid w:val="0041090E"/>
    <w:rsid w:val="0041097B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2D9C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1CDF"/>
    <w:rsid w:val="004C6755"/>
    <w:rsid w:val="004C6EDE"/>
    <w:rsid w:val="004C74F5"/>
    <w:rsid w:val="004D0E7A"/>
    <w:rsid w:val="004D201F"/>
    <w:rsid w:val="004D54DE"/>
    <w:rsid w:val="004D5B16"/>
    <w:rsid w:val="004D7038"/>
    <w:rsid w:val="004D7A0B"/>
    <w:rsid w:val="004E4213"/>
    <w:rsid w:val="004E4585"/>
    <w:rsid w:val="004F0A7D"/>
    <w:rsid w:val="004F308E"/>
    <w:rsid w:val="004F7BF0"/>
    <w:rsid w:val="00501BB6"/>
    <w:rsid w:val="00504790"/>
    <w:rsid w:val="005051AE"/>
    <w:rsid w:val="0051254C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507BF"/>
    <w:rsid w:val="005561BF"/>
    <w:rsid w:val="00556416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3758E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87AB9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20C4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D7CE1"/>
    <w:rsid w:val="006E2FE2"/>
    <w:rsid w:val="006E6703"/>
    <w:rsid w:val="006E6B98"/>
    <w:rsid w:val="006E771E"/>
    <w:rsid w:val="006E7DFF"/>
    <w:rsid w:val="006E7E90"/>
    <w:rsid w:val="006F1FB7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3FBE"/>
    <w:rsid w:val="0074474B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86B27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16CB"/>
    <w:rsid w:val="007B6A39"/>
    <w:rsid w:val="007C0AA4"/>
    <w:rsid w:val="007D0439"/>
    <w:rsid w:val="007D27A6"/>
    <w:rsid w:val="007D3C20"/>
    <w:rsid w:val="007D676A"/>
    <w:rsid w:val="007D7FB0"/>
    <w:rsid w:val="007E06F5"/>
    <w:rsid w:val="007E13D0"/>
    <w:rsid w:val="007E5C18"/>
    <w:rsid w:val="007E60F1"/>
    <w:rsid w:val="007F0DD3"/>
    <w:rsid w:val="007F1712"/>
    <w:rsid w:val="007F27CA"/>
    <w:rsid w:val="007F2CCF"/>
    <w:rsid w:val="007F3194"/>
    <w:rsid w:val="007F3FC8"/>
    <w:rsid w:val="007F5437"/>
    <w:rsid w:val="007F7743"/>
    <w:rsid w:val="00802E89"/>
    <w:rsid w:val="00803FAF"/>
    <w:rsid w:val="00805BF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6477"/>
    <w:rsid w:val="0089204A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4AC7"/>
    <w:rsid w:val="009054CB"/>
    <w:rsid w:val="009064E0"/>
    <w:rsid w:val="00907BA4"/>
    <w:rsid w:val="00911B3D"/>
    <w:rsid w:val="00912CC7"/>
    <w:rsid w:val="00913350"/>
    <w:rsid w:val="00915DE5"/>
    <w:rsid w:val="009164C8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20A8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3D74"/>
    <w:rsid w:val="009C45B3"/>
    <w:rsid w:val="009C545C"/>
    <w:rsid w:val="009D17E8"/>
    <w:rsid w:val="009D40C0"/>
    <w:rsid w:val="009D6D1E"/>
    <w:rsid w:val="009D7033"/>
    <w:rsid w:val="009D7749"/>
    <w:rsid w:val="009E4758"/>
    <w:rsid w:val="009E5BA7"/>
    <w:rsid w:val="009E7A86"/>
    <w:rsid w:val="009F0092"/>
    <w:rsid w:val="009F0266"/>
    <w:rsid w:val="009F4339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10D"/>
    <w:rsid w:val="00A26C9E"/>
    <w:rsid w:val="00A26CC3"/>
    <w:rsid w:val="00A271F9"/>
    <w:rsid w:val="00A3188E"/>
    <w:rsid w:val="00A33973"/>
    <w:rsid w:val="00A33A1C"/>
    <w:rsid w:val="00A3404D"/>
    <w:rsid w:val="00A346E5"/>
    <w:rsid w:val="00A40FCA"/>
    <w:rsid w:val="00A4435B"/>
    <w:rsid w:val="00A47DCD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B75E3"/>
    <w:rsid w:val="00AC137B"/>
    <w:rsid w:val="00AC2091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29F3"/>
    <w:rsid w:val="00AE3928"/>
    <w:rsid w:val="00AE423A"/>
    <w:rsid w:val="00AE5C65"/>
    <w:rsid w:val="00AF389F"/>
    <w:rsid w:val="00AF5C8E"/>
    <w:rsid w:val="00AF5F7A"/>
    <w:rsid w:val="00AF6182"/>
    <w:rsid w:val="00B00CD0"/>
    <w:rsid w:val="00B02973"/>
    <w:rsid w:val="00B02B42"/>
    <w:rsid w:val="00B02BDA"/>
    <w:rsid w:val="00B031BD"/>
    <w:rsid w:val="00B05224"/>
    <w:rsid w:val="00B055E1"/>
    <w:rsid w:val="00B130CE"/>
    <w:rsid w:val="00B133AF"/>
    <w:rsid w:val="00B17B93"/>
    <w:rsid w:val="00B22C5F"/>
    <w:rsid w:val="00B23820"/>
    <w:rsid w:val="00B26D37"/>
    <w:rsid w:val="00B3143A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869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2601A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8751D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B5D0A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57714"/>
    <w:rsid w:val="00D61FF8"/>
    <w:rsid w:val="00D64ABC"/>
    <w:rsid w:val="00D651CB"/>
    <w:rsid w:val="00D65C72"/>
    <w:rsid w:val="00D703D6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CE5"/>
    <w:rsid w:val="00DD3FC9"/>
    <w:rsid w:val="00DD5C21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45BAB"/>
    <w:rsid w:val="00E509C1"/>
    <w:rsid w:val="00E51749"/>
    <w:rsid w:val="00E52A51"/>
    <w:rsid w:val="00E53926"/>
    <w:rsid w:val="00E56E5B"/>
    <w:rsid w:val="00E6190F"/>
    <w:rsid w:val="00E64CBB"/>
    <w:rsid w:val="00E70493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F99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938"/>
    <w:rsid w:val="00ED3F1E"/>
    <w:rsid w:val="00ED3FB1"/>
    <w:rsid w:val="00EE3A80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0F1A"/>
    <w:rsid w:val="00F42773"/>
    <w:rsid w:val="00F42936"/>
    <w:rsid w:val="00F42E14"/>
    <w:rsid w:val="00F47692"/>
    <w:rsid w:val="00F47AB0"/>
    <w:rsid w:val="00F47B98"/>
    <w:rsid w:val="00F53DC7"/>
    <w:rsid w:val="00F55900"/>
    <w:rsid w:val="00F561F9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91193"/>
    <w:rsid w:val="00F96404"/>
    <w:rsid w:val="00F97403"/>
    <w:rsid w:val="00FA366E"/>
    <w:rsid w:val="00FA3B81"/>
    <w:rsid w:val="00FA4E22"/>
    <w:rsid w:val="00FA7193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1EC8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B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  <w:style w:type="paragraph" w:styleId="Odstavecseseznamem">
    <w:name w:val="List Paragraph"/>
    <w:basedOn w:val="Normln"/>
    <w:uiPriority w:val="34"/>
    <w:qFormat/>
    <w:rsid w:val="00B1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2</cp:revision>
  <cp:lastPrinted>2013-08-12T08:36:00Z</cp:lastPrinted>
  <dcterms:created xsi:type="dcterms:W3CDTF">2013-08-23T09:51:00Z</dcterms:created>
  <dcterms:modified xsi:type="dcterms:W3CDTF">2013-08-23T09:51:00Z</dcterms:modified>
</cp:coreProperties>
</file>